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4038" w:rsidRDefault="000B531A">
      <w:pPr>
        <w:pStyle w:val="Title"/>
        <w:contextualSpacing w:val="0"/>
      </w:pPr>
      <w:bookmarkStart w:id="0" w:name="h.5e230na8sj1m" w:colFirst="0" w:colLast="0"/>
      <w:bookmarkEnd w:id="0"/>
      <w:r>
        <w:rPr>
          <w:color w:val="990000"/>
        </w:rPr>
        <w:t>Minnesota Obesity Prevention Training (MnOPT)</w:t>
      </w:r>
    </w:p>
    <w:p w:rsidR="00A84038" w:rsidRDefault="00A84038"/>
    <w:p w:rsidR="00A84038" w:rsidRDefault="000B531A">
      <w:r>
        <w:t>The MnOPT fellowship program is dedicated to providing innovative interdisciplinary training for the next generation of biologic, behavioral, and clinical obesity prevention scientists. The program offers training to predoctoral (PhD), postdoctoral, and me</w:t>
      </w:r>
      <w:r>
        <w:t>dical fellows. MnOPT is a NIH/NIDDK–Ruth L. Kirschstein National Research Service Award, Institutional Research Training Grant.</w:t>
      </w:r>
    </w:p>
    <w:p w:rsidR="00A84038" w:rsidRDefault="000B531A">
      <w:r>
        <w:t xml:space="preserve"> </w:t>
      </w:r>
    </w:p>
    <w:p w:rsidR="00A84038" w:rsidRDefault="000B531A">
      <w:pPr>
        <w:ind w:right="-569"/>
      </w:pPr>
      <w:r>
        <w:rPr>
          <w:b/>
        </w:rPr>
        <w:t xml:space="preserve">Current Fellowship Opening(s): </w:t>
      </w:r>
      <w:r>
        <w:t>All positions are currently filled. Please check back for future openings.</w:t>
      </w:r>
    </w:p>
    <w:p w:rsidR="00A84038" w:rsidRDefault="00A84038">
      <w:pPr>
        <w:pBdr>
          <w:top w:val="single" w:sz="4" w:space="1" w:color="auto"/>
        </w:pBdr>
      </w:pPr>
    </w:p>
    <w:p w:rsidR="00A84038" w:rsidRDefault="00A84038"/>
    <w:p w:rsidR="00A84038" w:rsidRDefault="000B531A">
      <w:pPr>
        <w:pStyle w:val="Heading2"/>
        <w:contextualSpacing w:val="0"/>
      </w:pPr>
      <w:bookmarkStart w:id="1" w:name="h.38qukxn9b1o0" w:colFirst="0" w:colLast="0"/>
      <w:bookmarkEnd w:id="1"/>
      <w:r>
        <w:rPr>
          <w:color w:val="990000"/>
        </w:rPr>
        <w:t>The Fellowship Exp</w:t>
      </w:r>
      <w:r>
        <w:rPr>
          <w:color w:val="990000"/>
        </w:rPr>
        <w:t>erience</w:t>
      </w:r>
    </w:p>
    <w:p w:rsidR="00A84038" w:rsidRDefault="00A84038"/>
    <w:p w:rsidR="00A84038" w:rsidRDefault="000B531A">
      <w:r>
        <w:t>The program offers training for up to two predoctoral fellows who may be accepted in one of several University of Minnesota PhD programs, as well as up to three postdoctoral fellows with MD, PhD, or equivalent degrees.</w:t>
      </w:r>
    </w:p>
    <w:p w:rsidR="00A84038" w:rsidRDefault="000B531A">
      <w:r>
        <w:t xml:space="preserve"> </w:t>
      </w:r>
    </w:p>
    <w:p w:rsidR="00A84038" w:rsidRDefault="000B531A">
      <w:r>
        <w:t xml:space="preserve">The positions offer up to </w:t>
      </w:r>
      <w:r>
        <w:t xml:space="preserve">a 4-5 year appointment for predoctoral training or a 2-3 year appointment for postdoctoral training with a flexible start date, tuition benefits, an NIH stipend, and support for scientific meeting travel and other training experiences. </w:t>
      </w:r>
    </w:p>
    <w:p w:rsidR="00A84038" w:rsidRDefault="000B531A">
      <w:r>
        <w:t xml:space="preserve"> </w:t>
      </w:r>
    </w:p>
    <w:p w:rsidR="00A84038" w:rsidRDefault="000B531A">
      <w:r>
        <w:t>Trainees will eng</w:t>
      </w:r>
      <w:r>
        <w:t>age in research that focuses on the biology of obesity, clinical research on human obesity, and applied studies of treatment and prevention in community settings.</w:t>
      </w:r>
    </w:p>
    <w:p w:rsidR="00A84038" w:rsidRDefault="000B531A">
      <w:r>
        <w:t xml:space="preserve"> </w:t>
      </w:r>
    </w:p>
    <w:p w:rsidR="00A84038" w:rsidRDefault="000B531A">
      <w:r>
        <w:t>Central to the MnOPT mission is having a strong mentoring environment for trainees organize</w:t>
      </w:r>
      <w:r>
        <w:t>d around three training tracks:</w:t>
      </w:r>
    </w:p>
    <w:p w:rsidR="00A84038" w:rsidRDefault="000B531A">
      <w:pPr>
        <w:ind w:left="1440" w:hanging="359"/>
      </w:pPr>
      <w:r>
        <w:rPr>
          <w:sz w:val="20"/>
        </w:rPr>
        <w:t>●</w:t>
      </w:r>
      <w:r>
        <w:rPr>
          <w:sz w:val="14"/>
        </w:rPr>
        <w:t xml:space="preserve">      </w:t>
      </w:r>
      <w:r>
        <w:t>epidemiology/behavioral research</w:t>
      </w:r>
    </w:p>
    <w:p w:rsidR="00A84038" w:rsidRDefault="000B531A">
      <w:pPr>
        <w:ind w:left="1440" w:hanging="359"/>
      </w:pPr>
      <w:r>
        <w:rPr>
          <w:sz w:val="20"/>
        </w:rPr>
        <w:t>●</w:t>
      </w:r>
      <w:r>
        <w:rPr>
          <w:sz w:val="14"/>
        </w:rPr>
        <w:t xml:space="preserve">      </w:t>
      </w:r>
      <w:r>
        <w:t>basic sciences</w:t>
      </w:r>
    </w:p>
    <w:p w:rsidR="00A84038" w:rsidRDefault="000B531A">
      <w:pPr>
        <w:ind w:left="1440" w:hanging="359"/>
      </w:pPr>
      <w:r>
        <w:rPr>
          <w:sz w:val="20"/>
        </w:rPr>
        <w:t>●</w:t>
      </w:r>
      <w:r>
        <w:rPr>
          <w:sz w:val="14"/>
        </w:rPr>
        <w:t xml:space="preserve">      </w:t>
      </w:r>
      <w:r>
        <w:t>clinical studies</w:t>
      </w:r>
    </w:p>
    <w:p w:rsidR="00A84038" w:rsidRDefault="000B531A">
      <w:r>
        <w:t xml:space="preserve"> </w:t>
      </w:r>
    </w:p>
    <w:p w:rsidR="00A84038" w:rsidRDefault="000B531A">
      <w:r>
        <w:t>There will also be active efforts to facilitate transdisciplinary training between the three areas in order to broaden trainees’ discipl</w:t>
      </w:r>
      <w:r>
        <w:t>inary horizons.</w:t>
      </w:r>
    </w:p>
    <w:p w:rsidR="00A84038" w:rsidRDefault="000B531A">
      <w:r>
        <w:t xml:space="preserve"> </w:t>
      </w:r>
    </w:p>
    <w:p w:rsidR="00A84038" w:rsidRDefault="000B531A">
      <w:r>
        <w:t>Trainees will receive interdisciplinary training through a required  core curse, a monthly obesity research group, and other regular seminars. They will participate actively in research. They will be mentored in communicating study findin</w:t>
      </w:r>
      <w:r>
        <w:t>gs in written publication formats and in oral presentations, grantsmanship, research ethics, and career development.</w:t>
      </w:r>
    </w:p>
    <w:p w:rsidR="00A84038" w:rsidRDefault="000B531A">
      <w:r>
        <w:t xml:space="preserve"> </w:t>
      </w:r>
    </w:p>
    <w:p w:rsidR="00A84038" w:rsidRDefault="000B531A">
      <w:r>
        <w:t>Training goals are accomplished by matching trainees with faculty mentors who guide trainees in the development of the technical expertis</w:t>
      </w:r>
      <w:r>
        <w:t xml:space="preserve">e and skills they will need to be successful, independent researchers. </w:t>
      </w:r>
    </w:p>
    <w:p w:rsidR="00A84038" w:rsidRDefault="00A84038"/>
    <w:p w:rsidR="00A84038" w:rsidRDefault="000B531A">
      <w:r>
        <w:lastRenderedPageBreak/>
        <w:t>There are 31 potential faculty mentors in the program.  See the end of this document.</w:t>
      </w:r>
    </w:p>
    <w:p w:rsidR="00A84038" w:rsidRDefault="000B531A">
      <w:hyperlink r:id="rId7">
        <w:r>
          <w:rPr>
            <w:color w:val="1155CC"/>
            <w:u w:val="single"/>
          </w:rPr>
          <w:t>See information and policies</w:t>
        </w:r>
      </w:hyperlink>
    </w:p>
    <w:p w:rsidR="00A84038" w:rsidRDefault="000B531A">
      <w:r>
        <w:t xml:space="preserve"> </w:t>
      </w:r>
    </w:p>
    <w:p w:rsidR="00A84038" w:rsidRDefault="000B531A">
      <w:pPr>
        <w:pStyle w:val="Heading3"/>
        <w:spacing w:before="280" w:after="80"/>
        <w:contextualSpacing w:val="0"/>
      </w:pPr>
      <w:bookmarkStart w:id="2" w:name="h.s3l3fu8ik07m" w:colFirst="0" w:colLast="0"/>
      <w:bookmarkEnd w:id="2"/>
      <w:r>
        <w:rPr>
          <w:color w:val="990000"/>
          <w:sz w:val="26"/>
        </w:rPr>
        <w:t>Application Process</w:t>
      </w:r>
    </w:p>
    <w:p w:rsidR="00A84038" w:rsidRDefault="000B531A">
      <w:hyperlink r:id="rId8">
        <w:r>
          <w:rPr>
            <w:color w:val="1155CC"/>
            <w:u w:val="single"/>
          </w:rPr>
          <w:t>Download MnOPT Application</w:t>
        </w:r>
      </w:hyperlink>
    </w:p>
    <w:p w:rsidR="00A84038" w:rsidRDefault="000B531A">
      <w:r>
        <w:t xml:space="preserve"> </w:t>
      </w:r>
    </w:p>
    <w:p w:rsidR="00A84038" w:rsidRDefault="000B531A">
      <w:r>
        <w:t>If interested, an application should be submitted electronically as a single doc or pdf file to both the Program Director and the Program Coordinator as follows:</w:t>
      </w:r>
    </w:p>
    <w:p w:rsidR="00A84038" w:rsidRDefault="000B531A">
      <w:r>
        <w:t xml:space="preserve"> </w:t>
      </w:r>
    </w:p>
    <w:p w:rsidR="00A84038" w:rsidRDefault="000B531A">
      <w:pPr>
        <w:ind w:left="720"/>
      </w:pPr>
      <w:r>
        <w:rPr>
          <w:b/>
        </w:rPr>
        <w:t>Robert W. Jeffery, Ph.D., Program Director</w:t>
      </w:r>
    </w:p>
    <w:p w:rsidR="00A84038" w:rsidRDefault="000B531A">
      <w:pPr>
        <w:ind w:left="720"/>
      </w:pPr>
      <w:r>
        <w:t>Minnesota O</w:t>
      </w:r>
      <w:r>
        <w:t>besity Prevention Training Program</w:t>
      </w:r>
    </w:p>
    <w:p w:rsidR="00A84038" w:rsidRDefault="000B531A">
      <w:pPr>
        <w:ind w:left="720"/>
      </w:pPr>
      <w:r>
        <w:t>Division of Epidemiology &amp; Community Health</w:t>
      </w:r>
    </w:p>
    <w:p w:rsidR="00A84038" w:rsidRDefault="000B531A">
      <w:pPr>
        <w:ind w:left="720"/>
      </w:pPr>
      <w:r>
        <w:t>University of Minnesota School of Public Health</w:t>
      </w:r>
    </w:p>
    <w:p w:rsidR="00A84038" w:rsidRDefault="000B531A">
      <w:pPr>
        <w:ind w:left="720"/>
      </w:pPr>
      <w:r>
        <w:t>1300 South 2nd Street, Suite 300</w:t>
      </w:r>
    </w:p>
    <w:p w:rsidR="00A84038" w:rsidRDefault="000B531A">
      <w:pPr>
        <w:ind w:left="720"/>
      </w:pPr>
      <w:r>
        <w:t>Minneapolis, Minnesota 55454-1015</w:t>
      </w:r>
    </w:p>
    <w:p w:rsidR="00A84038" w:rsidRDefault="000B531A">
      <w:pPr>
        <w:ind w:left="720"/>
      </w:pPr>
      <w:r>
        <w:t>Phone: (612) 626-8580</w:t>
      </w:r>
    </w:p>
    <w:p w:rsidR="00A84038" w:rsidRDefault="000B531A">
      <w:pPr>
        <w:ind w:left="720"/>
      </w:pPr>
      <w:r>
        <w:t>FAX: (612) 624-0315</w:t>
      </w:r>
    </w:p>
    <w:p w:rsidR="00A84038" w:rsidRDefault="000B531A">
      <w:pPr>
        <w:ind w:left="720"/>
      </w:pPr>
      <w:r>
        <w:t xml:space="preserve">Email: </w:t>
      </w:r>
      <w:r>
        <w:rPr>
          <w:color w:val="1155CC"/>
        </w:rPr>
        <w:t>jefferyrw@gmail.com</w:t>
      </w:r>
    </w:p>
    <w:p w:rsidR="00A84038" w:rsidRDefault="000B531A">
      <w:pPr>
        <w:ind w:left="720"/>
      </w:pPr>
      <w:r>
        <w:t xml:space="preserve"> </w:t>
      </w:r>
    </w:p>
    <w:p w:rsidR="00A84038" w:rsidRDefault="000B531A">
      <w:pPr>
        <w:ind w:left="720"/>
      </w:pPr>
      <w:r>
        <w:rPr>
          <w:b/>
        </w:rPr>
        <w:t>Kerrin Brelje, Program Coordinator</w:t>
      </w:r>
    </w:p>
    <w:p w:rsidR="00A84038" w:rsidRDefault="000B531A">
      <w:pPr>
        <w:ind w:left="720"/>
      </w:pPr>
      <w:r>
        <w:t>Phone: (612) 626-8570</w:t>
      </w:r>
    </w:p>
    <w:p w:rsidR="00A84038" w:rsidRDefault="000B531A">
      <w:pPr>
        <w:ind w:left="720"/>
      </w:pPr>
      <w:r>
        <w:t>Email: kbrelje@umn.edu</w:t>
      </w:r>
    </w:p>
    <w:p w:rsidR="00A84038" w:rsidRDefault="000B531A">
      <w:pPr>
        <w:pBdr>
          <w:top w:val="single" w:sz="4" w:space="1" w:color="auto"/>
        </w:pBdr>
      </w:pPr>
      <w:r>
        <w:t xml:space="preserve"> </w:t>
      </w:r>
    </w:p>
    <w:p w:rsidR="00A84038" w:rsidRDefault="000B531A">
      <w:r>
        <w:t xml:space="preserve"> </w:t>
      </w:r>
    </w:p>
    <w:p w:rsidR="00A84038" w:rsidRDefault="000B531A">
      <w:r>
        <w:t xml:space="preserve"> </w:t>
      </w:r>
      <w:r>
        <w:rPr>
          <w:rFonts w:ascii="Trebuchet MS" w:eastAsia="Trebuchet MS" w:hAnsi="Trebuchet MS" w:cs="Trebuchet MS"/>
          <w:b/>
          <w:color w:val="990000"/>
          <w:sz w:val="26"/>
        </w:rPr>
        <w:t>Eligibility</w:t>
      </w:r>
    </w:p>
    <w:p w:rsidR="00A84038" w:rsidRDefault="000B531A">
      <w:r>
        <w:t xml:space="preserve"> </w:t>
      </w:r>
    </w:p>
    <w:p w:rsidR="00A84038" w:rsidRDefault="000B531A">
      <w:r>
        <w:t>Applicants must be US citizens, US noncitizen nationals, or permanent residents. (Individuals on temporary or student visas are not eligible for Kirschstein-NRSA support.)</w:t>
      </w:r>
    </w:p>
    <w:p w:rsidR="00A84038" w:rsidRDefault="000B531A">
      <w:r>
        <w:t xml:space="preserve"> </w:t>
      </w:r>
    </w:p>
    <w:p w:rsidR="00A84038" w:rsidRDefault="000B531A">
      <w:r>
        <w:t>Predoctoral trainees must be formally admitted into a PhD program at the Universit</w:t>
      </w:r>
      <w:r>
        <w:t>y of Minnesota before the start of the training.</w:t>
      </w:r>
    </w:p>
    <w:p w:rsidR="00A84038" w:rsidRDefault="000B531A">
      <w:r>
        <w:t xml:space="preserve"> </w:t>
      </w:r>
    </w:p>
    <w:p w:rsidR="00A84038" w:rsidRDefault="000B531A">
      <w:r>
        <w:t>Postdoctoral trainees must have earned a doctoral degree (MD, PhD, etc.) in health sciences or related fields (laboratory, clinical, nutrition, and epidemiology). Demonstrated potential or experience in re</w:t>
      </w:r>
      <w:r>
        <w:t>search is the primary criteria for appointments.</w:t>
      </w:r>
    </w:p>
    <w:p w:rsidR="00A84038" w:rsidRDefault="00A84038"/>
    <w:p w:rsidR="00A84038" w:rsidRDefault="000B531A">
      <w:r>
        <w:t xml:space="preserve"> </w:t>
      </w:r>
    </w:p>
    <w:p w:rsidR="00A84038" w:rsidRDefault="000B531A">
      <w:r>
        <w:t>Criteria for selection of all trainees include academic performance and a career orientation toward independent research in an academic, clinical, or public health setting related to obesity prevention.</w:t>
      </w:r>
    </w:p>
    <w:p w:rsidR="00A84038" w:rsidRDefault="000B531A">
      <w:r>
        <w:t xml:space="preserve"> </w:t>
      </w:r>
    </w:p>
    <w:p w:rsidR="00A84038" w:rsidRDefault="000B531A">
      <w:r>
        <w:rPr>
          <w:b/>
        </w:rPr>
        <w:t>Trainee Citizenship</w:t>
      </w:r>
    </w:p>
    <w:p w:rsidR="00A84038" w:rsidRDefault="000B531A">
      <w:r>
        <w:lastRenderedPageBreak/>
        <w:t>At the time of appointment to the training program, individuals selected for research training supported by NRSA institutional training grants must be citizens or noncitizen nationals of the United States, or must have been lawfully ad</w:t>
      </w:r>
      <w:r>
        <w:t>mitted to the United States for permanent residence, i.e., in possession of a currently valid Alien Registration Receipt Card I-551, or some other legal verification of legal admission as a permanent resident.</w:t>
      </w:r>
    </w:p>
    <w:p w:rsidR="00A84038" w:rsidRDefault="000B531A">
      <w:r>
        <w:t xml:space="preserve"> </w:t>
      </w:r>
    </w:p>
    <w:p w:rsidR="00A84038" w:rsidRDefault="000B531A">
      <w:r>
        <w:t>Noncitizen nationals are generally persons b</w:t>
      </w:r>
      <w:r>
        <w:t xml:space="preserve">orn in outlying possessions of the United States (e.g., American Samoa and Swains Island). Individuals on temporary or student visas are </w:t>
      </w:r>
      <w:r>
        <w:rPr>
          <w:b/>
          <w:u w:val="single"/>
        </w:rPr>
        <w:t>not</w:t>
      </w:r>
      <w:r>
        <w:t xml:space="preserve"> eligible for Kirschstein-NRSA support. In addition, trainees must be able to commit full-time effort in the program</w:t>
      </w:r>
      <w:r>
        <w:t xml:space="preserve"> at the time of appointment.</w:t>
      </w:r>
    </w:p>
    <w:p w:rsidR="00A84038" w:rsidRDefault="000B531A">
      <w:r>
        <w:t xml:space="preserve"> </w:t>
      </w:r>
    </w:p>
    <w:p w:rsidR="00A84038" w:rsidRDefault="000B531A">
      <w:r>
        <w:rPr>
          <w:b/>
        </w:rPr>
        <w:t>Fellowship Positions—Availability</w:t>
      </w:r>
    </w:p>
    <w:p w:rsidR="00A84038" w:rsidRDefault="000B531A">
      <w:r>
        <w:t>There are two predoctoral and three postdoctoral fellowship positions with the program. Positions become available at irregular intervals.</w:t>
      </w:r>
    </w:p>
    <w:p w:rsidR="00A84038" w:rsidRDefault="000B531A">
      <w:r>
        <w:t xml:space="preserve"> </w:t>
      </w:r>
    </w:p>
    <w:p w:rsidR="00A84038" w:rsidRDefault="000B531A">
      <w:r>
        <w:t>Please contact the program director, Robert W. Jef</w:t>
      </w:r>
      <w:r>
        <w:t>fery (</w:t>
      </w:r>
      <w:r>
        <w:rPr>
          <w:color w:val="1155CC"/>
        </w:rPr>
        <w:t>jefferyrw@gmail.com</w:t>
      </w:r>
      <w:r>
        <w:t xml:space="preserve"> ), or the program coordinator, Kerrin Brelje by phone (612) 626-8570) or email (</w:t>
      </w:r>
      <w:r>
        <w:rPr>
          <w:color w:val="1155CC"/>
        </w:rPr>
        <w:t>kbrelje@umn.edu</w:t>
      </w:r>
      <w:r>
        <w:t>), for further information.</w:t>
      </w:r>
    </w:p>
    <w:p w:rsidR="00A84038" w:rsidRDefault="00A84038">
      <w:pPr>
        <w:pBdr>
          <w:top w:val="single" w:sz="4" w:space="1" w:color="auto"/>
        </w:pBdr>
      </w:pPr>
    </w:p>
    <w:p w:rsidR="00A84038" w:rsidRDefault="00A84038"/>
    <w:p w:rsidR="00A84038" w:rsidRDefault="000B531A">
      <w:pPr>
        <w:pStyle w:val="Heading3"/>
        <w:spacing w:before="280" w:after="80"/>
        <w:contextualSpacing w:val="0"/>
      </w:pPr>
      <w:bookmarkStart w:id="3" w:name="h.dn2ddimn7xh1" w:colFirst="0" w:colLast="0"/>
      <w:bookmarkEnd w:id="3"/>
      <w:r>
        <w:rPr>
          <w:color w:val="990000"/>
          <w:sz w:val="26"/>
        </w:rPr>
        <w:t>Stipend &amp; Benefits</w:t>
      </w:r>
    </w:p>
    <w:p w:rsidR="00A84038" w:rsidRDefault="000B531A">
      <w:r>
        <w:t xml:space="preserve"> </w:t>
      </w:r>
    </w:p>
    <w:p w:rsidR="00A84038" w:rsidRDefault="000B531A">
      <w:r>
        <w:rPr>
          <w:b/>
        </w:rPr>
        <w:t>Stipend</w:t>
      </w:r>
    </w:p>
    <w:p w:rsidR="00A84038" w:rsidRDefault="000B531A">
      <w:r>
        <w:t xml:space="preserve">Stipends are based on current NIH-approved levels and years of postdoctoral </w:t>
      </w:r>
      <w:r>
        <w:t>experience. For current stipend information, see the section on “</w:t>
      </w:r>
      <w:r>
        <w:rPr>
          <w:b/>
          <w:i/>
        </w:rPr>
        <w:t>Kirschstein-NRSA Stipend Levels</w:t>
      </w:r>
      <w:r>
        <w:t xml:space="preserve">” </w:t>
      </w:r>
      <w:r>
        <w:rPr>
          <w:i/>
        </w:rPr>
        <w:t>(toward the bottom of the page)</w:t>
      </w:r>
      <w:r>
        <w:t xml:space="preserve"> at</w:t>
      </w:r>
      <w:hyperlink r:id="rId9">
        <w:r>
          <w:t xml:space="preserve"> </w:t>
        </w:r>
      </w:hyperlink>
      <w:hyperlink r:id="rId10">
        <w:r>
          <w:rPr>
            <w:color w:val="1155CC"/>
            <w:u w:val="single"/>
          </w:rPr>
          <w:t>http://grants.nih.gov/training/nrsa.htm</w:t>
        </w:r>
      </w:hyperlink>
      <w:r>
        <w:t>. Note that there is a potential payback requirement for postdoctoral fellows who take non-research positions prior to the end of two years.</w:t>
      </w:r>
    </w:p>
    <w:p w:rsidR="00A84038" w:rsidRDefault="000B531A">
      <w:r>
        <w:t xml:space="preserve"> </w:t>
      </w:r>
    </w:p>
    <w:p w:rsidR="00A84038" w:rsidRDefault="000B531A">
      <w:r>
        <w:rPr>
          <w:b/>
        </w:rPr>
        <w:t>Tuition</w:t>
      </w:r>
    </w:p>
    <w:p w:rsidR="00A84038" w:rsidRDefault="000B531A">
      <w:r>
        <w:t>Full payment of tuition and required fees.</w:t>
      </w:r>
    </w:p>
    <w:p w:rsidR="00A84038" w:rsidRDefault="000B531A">
      <w:r>
        <w:t xml:space="preserve"> </w:t>
      </w:r>
    </w:p>
    <w:p w:rsidR="00A84038" w:rsidRDefault="000B531A">
      <w:r>
        <w:rPr>
          <w:b/>
        </w:rPr>
        <w:t>Travel</w:t>
      </w:r>
    </w:p>
    <w:p w:rsidR="00A84038" w:rsidRDefault="000B531A">
      <w:r>
        <w:t>Reimbursement of pre-approved travel expenses to one professional meeting per grant year.</w:t>
      </w:r>
    </w:p>
    <w:p w:rsidR="00A84038" w:rsidRDefault="000B531A">
      <w:r>
        <w:t xml:space="preserve"> </w:t>
      </w:r>
    </w:p>
    <w:p w:rsidR="00A84038" w:rsidRDefault="000B531A">
      <w:r>
        <w:rPr>
          <w:b/>
        </w:rPr>
        <w:t>Other Research-Related Expenses</w:t>
      </w:r>
    </w:p>
    <w:p w:rsidR="00A84038" w:rsidRDefault="000B531A">
      <w:r>
        <w:t>Reimbursement for textbooks and other required course materials, as well as certain other research-related expenses, on a pre-approv</w:t>
      </w:r>
      <w:r>
        <w:t>al basis. Receipts are required for reimbursement.</w:t>
      </w:r>
    </w:p>
    <w:p w:rsidR="00A84038" w:rsidRDefault="00A84038"/>
    <w:p w:rsidR="00A84038" w:rsidRDefault="000B531A">
      <w:r>
        <w:rPr>
          <w:b/>
        </w:rPr>
        <w:t>Health Insurance</w:t>
      </w:r>
    </w:p>
    <w:p w:rsidR="00A84038" w:rsidRDefault="000B531A">
      <w:r>
        <w:t>Predoctoral and postdoctoral fellows are encouraged and eligible to secure the Graduate Assistant Health Plan for single coverage through the University of Minnesota (trainees pay 5%):</w:t>
      </w:r>
      <w:hyperlink r:id="rId11">
        <w:r>
          <w:t xml:space="preserve"> </w:t>
        </w:r>
      </w:hyperlink>
      <w:hyperlink r:id="rId12">
        <w:r>
          <w:rPr>
            <w:color w:val="1155CC"/>
            <w:u w:val="single"/>
          </w:rPr>
          <w:t>http://www.shb.umn.edu/twincities/graduate-assistants.htm</w:t>
        </w:r>
      </w:hyperlink>
      <w:r>
        <w:t>.</w:t>
      </w:r>
    </w:p>
    <w:p w:rsidR="00A84038" w:rsidRDefault="000B531A">
      <w:r>
        <w:t xml:space="preserve"> </w:t>
      </w:r>
    </w:p>
    <w:p w:rsidR="00A84038" w:rsidRDefault="000B531A">
      <w:r>
        <w:lastRenderedPageBreak/>
        <w:t>If preferred, fellows can find their own he</w:t>
      </w:r>
      <w:r>
        <w:t>alth insurance provider and the program will reimburse them for an amount equivalent to the Graduate Assistant Health Plan single coverage rate—prior permission from the Program Director is required.</w:t>
      </w:r>
    </w:p>
    <w:p w:rsidR="00A84038" w:rsidRDefault="000B531A">
      <w:r>
        <w:t xml:space="preserve"> </w:t>
      </w:r>
    </w:p>
    <w:p w:rsidR="00A84038" w:rsidRDefault="000B531A">
      <w:r>
        <w:rPr>
          <w:b/>
        </w:rPr>
        <w:t>Vacation/Sick/Parental Leave</w:t>
      </w:r>
    </w:p>
    <w:p w:rsidR="00A84038" w:rsidRDefault="000B531A">
      <w:r>
        <w:t>Trainees receive stipends</w:t>
      </w:r>
      <w:r>
        <w:t xml:space="preserve"> during the normal periods of vacation and holidays observed at the University of Minnesota. The period between spring and fall semesters is an active time of research training and is not considered to be a vacation or holiday.</w:t>
      </w:r>
    </w:p>
    <w:p w:rsidR="00A84038" w:rsidRDefault="000B531A">
      <w:r>
        <w:t xml:space="preserve"> </w:t>
      </w:r>
    </w:p>
    <w:p w:rsidR="00A84038" w:rsidRDefault="000B531A">
      <w:r>
        <w:t>Trainees may receive stipe</w:t>
      </w:r>
      <w:r>
        <w:t>nds for up to 15 calendar days of vacation and/or sick leave per year. Sick leave may be used for the medical conditions related to pregnancy and childbirth. Up to 60 calendar days of parental leave per year is allowed for the adoption or birth of a child.</w:t>
      </w:r>
      <w:r>
        <w:t xml:space="preserve"> Insurance is covered during this time.</w:t>
      </w:r>
    </w:p>
    <w:p w:rsidR="00A84038" w:rsidRDefault="00A84038">
      <w:pPr>
        <w:pBdr>
          <w:top w:val="single" w:sz="4" w:space="1" w:color="auto"/>
        </w:pBdr>
      </w:pPr>
    </w:p>
    <w:p w:rsidR="00A84038" w:rsidRDefault="00A84038"/>
    <w:p w:rsidR="00A84038" w:rsidRDefault="000B531A">
      <w:r>
        <w:t xml:space="preserve"> </w:t>
      </w:r>
    </w:p>
    <w:p w:rsidR="00A84038" w:rsidRDefault="000B531A">
      <w:r>
        <w:rPr>
          <w:rFonts w:ascii="Trebuchet MS" w:eastAsia="Trebuchet MS" w:hAnsi="Trebuchet MS" w:cs="Trebuchet MS"/>
          <w:b/>
          <w:color w:val="990000"/>
          <w:sz w:val="26"/>
        </w:rPr>
        <w:t>Program Faculty</w:t>
      </w:r>
    </w:p>
    <w:tbl>
      <w:tblPr>
        <w:tblW w:w="942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430"/>
        <w:gridCol w:w="2855"/>
        <w:gridCol w:w="2675"/>
        <w:gridCol w:w="2465"/>
      </w:tblGrid>
      <w:tr w:rsidR="00A84038">
        <w:tblPrEx>
          <w:tblCellMar>
            <w:top w:w="0" w:type="dxa"/>
            <w:bottom w:w="0" w:type="dxa"/>
          </w:tblCellMar>
        </w:tblPrEx>
        <w:tc>
          <w:tcPr>
            <w:tcW w:w="1430" w:type="dxa"/>
            <w:tcMar>
              <w:top w:w="100" w:type="dxa"/>
              <w:left w:w="100" w:type="dxa"/>
              <w:bottom w:w="100" w:type="dxa"/>
              <w:right w:w="100" w:type="dxa"/>
            </w:tcMar>
          </w:tcPr>
          <w:p w:rsidR="00A84038" w:rsidRDefault="000B531A">
            <w:pPr>
              <w:ind w:left="100"/>
            </w:pPr>
            <w:r>
              <w:rPr>
                <w:b/>
                <w:sz w:val="20"/>
              </w:rPr>
              <w:t>TRACKS:</w:t>
            </w:r>
          </w:p>
        </w:tc>
        <w:tc>
          <w:tcPr>
            <w:tcW w:w="2855" w:type="dxa"/>
            <w:tcMar>
              <w:top w:w="100" w:type="dxa"/>
              <w:left w:w="100" w:type="dxa"/>
              <w:bottom w:w="100" w:type="dxa"/>
              <w:right w:w="100" w:type="dxa"/>
            </w:tcMar>
          </w:tcPr>
          <w:p w:rsidR="00A84038" w:rsidRDefault="000B531A">
            <w:pPr>
              <w:ind w:left="100"/>
            </w:pPr>
            <w:r>
              <w:rPr>
                <w:b/>
                <w:sz w:val="20"/>
              </w:rPr>
              <w:t>EPIDEMIOLOGY/ BEHAVIORAL</w:t>
            </w:r>
          </w:p>
        </w:tc>
        <w:tc>
          <w:tcPr>
            <w:tcW w:w="2675" w:type="dxa"/>
            <w:tcMar>
              <w:top w:w="100" w:type="dxa"/>
              <w:left w:w="100" w:type="dxa"/>
              <w:bottom w:w="100" w:type="dxa"/>
              <w:right w:w="100" w:type="dxa"/>
            </w:tcMar>
          </w:tcPr>
          <w:p w:rsidR="00A84038" w:rsidRDefault="000B531A">
            <w:pPr>
              <w:ind w:left="100"/>
            </w:pPr>
            <w:r>
              <w:rPr>
                <w:b/>
                <w:sz w:val="20"/>
              </w:rPr>
              <w:t>BASIC SCIENCE</w:t>
            </w:r>
          </w:p>
        </w:tc>
        <w:tc>
          <w:tcPr>
            <w:tcW w:w="2465" w:type="dxa"/>
            <w:tcMar>
              <w:top w:w="100" w:type="dxa"/>
              <w:left w:w="100" w:type="dxa"/>
              <w:bottom w:w="100" w:type="dxa"/>
              <w:right w:w="100" w:type="dxa"/>
            </w:tcMar>
          </w:tcPr>
          <w:p w:rsidR="00A84038" w:rsidRDefault="000B531A">
            <w:pPr>
              <w:ind w:left="100"/>
            </w:pPr>
            <w:r>
              <w:rPr>
                <w:b/>
                <w:sz w:val="20"/>
              </w:rPr>
              <w:t>CLINICAL</w:t>
            </w:r>
          </w:p>
        </w:tc>
      </w:tr>
      <w:tr w:rsidR="00A84038">
        <w:tblPrEx>
          <w:tblCellMar>
            <w:top w:w="0" w:type="dxa"/>
            <w:bottom w:w="0" w:type="dxa"/>
          </w:tblCellMar>
        </w:tblPrEx>
        <w:tc>
          <w:tcPr>
            <w:tcW w:w="1430" w:type="dxa"/>
            <w:tcMar>
              <w:top w:w="100" w:type="dxa"/>
              <w:left w:w="100" w:type="dxa"/>
              <w:bottom w:w="100" w:type="dxa"/>
              <w:right w:w="100" w:type="dxa"/>
            </w:tcMar>
          </w:tcPr>
          <w:p w:rsidR="00A84038" w:rsidRDefault="000B531A">
            <w:pPr>
              <w:ind w:left="100"/>
            </w:pPr>
            <w:r>
              <w:rPr>
                <w:b/>
                <w:sz w:val="20"/>
              </w:rPr>
              <w:t>Leaders:</w:t>
            </w:r>
          </w:p>
          <w:p w:rsidR="00A84038" w:rsidRDefault="000B531A">
            <w:pPr>
              <w:ind w:left="100"/>
            </w:pPr>
            <w:r>
              <w:rPr>
                <w:sz w:val="20"/>
              </w:rPr>
              <w:t xml:space="preserve"> </w:t>
            </w:r>
          </w:p>
          <w:p w:rsidR="00A84038" w:rsidRDefault="000B531A">
            <w:pPr>
              <w:ind w:left="100"/>
            </w:pPr>
            <w:r>
              <w:rPr>
                <w:b/>
                <w:sz w:val="20"/>
              </w:rPr>
              <w:t>Faculty Mentors:</w:t>
            </w:r>
          </w:p>
        </w:tc>
        <w:tc>
          <w:tcPr>
            <w:tcW w:w="2855" w:type="dxa"/>
            <w:tcMar>
              <w:top w:w="100" w:type="dxa"/>
              <w:left w:w="100" w:type="dxa"/>
              <w:bottom w:w="100" w:type="dxa"/>
              <w:right w:w="100" w:type="dxa"/>
            </w:tcMar>
          </w:tcPr>
          <w:p w:rsidR="00A84038" w:rsidRDefault="000B531A">
            <w:pPr>
              <w:ind w:left="100"/>
            </w:pPr>
            <w:r>
              <w:rPr>
                <w:i/>
                <w:sz w:val="20"/>
              </w:rPr>
              <w:t>Robert Jeffery</w:t>
            </w:r>
          </w:p>
          <w:p w:rsidR="00A84038" w:rsidRDefault="000B531A">
            <w:pPr>
              <w:ind w:left="100"/>
            </w:pPr>
            <w:r>
              <w:rPr>
                <w:sz w:val="20"/>
              </w:rPr>
              <w:t xml:space="preserve"> </w:t>
            </w:r>
          </w:p>
          <w:p w:rsidR="00A84038" w:rsidRDefault="000B531A">
            <w:pPr>
              <w:ind w:left="100"/>
            </w:pPr>
            <w:r>
              <w:rPr>
                <w:sz w:val="20"/>
              </w:rPr>
              <w:t>Ellen Demerath</w:t>
            </w:r>
          </w:p>
          <w:p w:rsidR="00A84038" w:rsidRDefault="000B531A">
            <w:pPr>
              <w:ind w:left="100"/>
            </w:pPr>
            <w:r>
              <w:rPr>
                <w:sz w:val="20"/>
              </w:rPr>
              <w:t>Aaron Folsom</w:t>
            </w:r>
          </w:p>
          <w:p w:rsidR="00A84038" w:rsidRDefault="000B531A">
            <w:pPr>
              <w:ind w:left="100"/>
            </w:pPr>
            <w:r>
              <w:rPr>
                <w:sz w:val="20"/>
              </w:rPr>
              <w:t>Simone French</w:t>
            </w:r>
          </w:p>
          <w:p w:rsidR="00A84038" w:rsidRDefault="000B531A">
            <w:pPr>
              <w:ind w:left="100"/>
            </w:pPr>
            <w:r>
              <w:rPr>
                <w:sz w:val="20"/>
              </w:rPr>
              <w:t>Jayne Fulkerson</w:t>
            </w:r>
          </w:p>
          <w:p w:rsidR="00A84038" w:rsidRDefault="000B531A">
            <w:pPr>
              <w:ind w:left="100"/>
            </w:pPr>
            <w:r>
              <w:rPr>
                <w:sz w:val="20"/>
              </w:rPr>
              <w:t>Lisa Harnack</w:t>
            </w:r>
          </w:p>
          <w:p w:rsidR="00A84038" w:rsidRDefault="000B531A">
            <w:pPr>
              <w:ind w:left="100"/>
            </w:pPr>
            <w:r>
              <w:rPr>
                <w:sz w:val="20"/>
              </w:rPr>
              <w:t>Robert Jeffery</w:t>
            </w:r>
          </w:p>
          <w:p w:rsidR="00A84038" w:rsidRDefault="000B531A">
            <w:pPr>
              <w:ind w:left="100"/>
            </w:pPr>
            <w:r>
              <w:rPr>
                <w:sz w:val="20"/>
              </w:rPr>
              <w:t>Melissa Laska</w:t>
            </w:r>
          </w:p>
          <w:p w:rsidR="00A84038" w:rsidRDefault="000B531A">
            <w:pPr>
              <w:ind w:left="100"/>
            </w:pPr>
            <w:r>
              <w:rPr>
                <w:sz w:val="20"/>
              </w:rPr>
              <w:t>Beth Lewis</w:t>
            </w:r>
          </w:p>
          <w:p w:rsidR="00A84038" w:rsidRDefault="000B531A">
            <w:pPr>
              <w:ind w:left="100"/>
            </w:pPr>
            <w:r>
              <w:rPr>
                <w:sz w:val="20"/>
              </w:rPr>
              <w:t>Jennifer Linde</w:t>
            </w:r>
          </w:p>
          <w:p w:rsidR="00A84038" w:rsidRDefault="000B531A">
            <w:pPr>
              <w:ind w:left="100"/>
            </w:pPr>
            <w:r>
              <w:rPr>
                <w:sz w:val="20"/>
              </w:rPr>
              <w:t>Russell Luepker</w:t>
            </w:r>
          </w:p>
          <w:p w:rsidR="00A84038" w:rsidRDefault="000B531A">
            <w:pPr>
              <w:ind w:left="100"/>
            </w:pPr>
            <w:r>
              <w:rPr>
                <w:sz w:val="20"/>
              </w:rPr>
              <w:t>Dianne Neumark-Sztainer</w:t>
            </w:r>
          </w:p>
          <w:p w:rsidR="00A84038" w:rsidRDefault="000B531A">
            <w:pPr>
              <w:ind w:left="100"/>
            </w:pPr>
            <w:r>
              <w:rPr>
                <w:sz w:val="20"/>
              </w:rPr>
              <w:t>Mark Pereira</w:t>
            </w:r>
          </w:p>
          <w:p w:rsidR="00A84038" w:rsidRDefault="000B531A">
            <w:pPr>
              <w:ind w:left="100"/>
            </w:pPr>
            <w:r>
              <w:rPr>
                <w:sz w:val="20"/>
              </w:rPr>
              <w:t>Alexander Rothman</w:t>
            </w:r>
          </w:p>
          <w:p w:rsidR="00A84038" w:rsidRDefault="000B531A">
            <w:pPr>
              <w:ind w:left="100"/>
            </w:pPr>
            <w:r>
              <w:rPr>
                <w:sz w:val="20"/>
              </w:rPr>
              <w:t>Nancy Sherwood</w:t>
            </w:r>
          </w:p>
        </w:tc>
        <w:tc>
          <w:tcPr>
            <w:tcW w:w="2675" w:type="dxa"/>
            <w:tcMar>
              <w:top w:w="100" w:type="dxa"/>
              <w:left w:w="100" w:type="dxa"/>
              <w:bottom w:w="100" w:type="dxa"/>
              <w:right w:w="100" w:type="dxa"/>
            </w:tcMar>
          </w:tcPr>
          <w:p w:rsidR="00A84038" w:rsidRDefault="000B531A">
            <w:pPr>
              <w:ind w:left="100"/>
            </w:pPr>
            <w:r>
              <w:rPr>
                <w:i/>
                <w:sz w:val="20"/>
              </w:rPr>
              <w:t>Catherine Kotz</w:t>
            </w:r>
          </w:p>
          <w:p w:rsidR="00A84038" w:rsidRDefault="000B531A">
            <w:pPr>
              <w:ind w:left="100"/>
            </w:pPr>
            <w:r>
              <w:rPr>
                <w:sz w:val="20"/>
              </w:rPr>
              <w:t xml:space="preserve"> </w:t>
            </w:r>
          </w:p>
          <w:p w:rsidR="00A84038" w:rsidRDefault="000B531A">
            <w:pPr>
              <w:ind w:left="100"/>
            </w:pPr>
            <w:r>
              <w:rPr>
                <w:sz w:val="20"/>
              </w:rPr>
              <w:t>Alessandro Bartolomucci</w:t>
            </w:r>
          </w:p>
          <w:p w:rsidR="00A84038" w:rsidRDefault="000B531A">
            <w:pPr>
              <w:ind w:left="100"/>
            </w:pPr>
            <w:r>
              <w:rPr>
                <w:sz w:val="20"/>
              </w:rPr>
              <w:t>David Bernlohr</w:t>
            </w:r>
          </w:p>
          <w:p w:rsidR="00A84038" w:rsidRDefault="000B531A">
            <w:pPr>
              <w:ind w:left="100"/>
            </w:pPr>
            <w:r>
              <w:rPr>
                <w:sz w:val="20"/>
              </w:rPr>
              <w:t>Xiaoli Chen</w:t>
            </w:r>
          </w:p>
          <w:p w:rsidR="00A84038" w:rsidRDefault="000B531A">
            <w:pPr>
              <w:ind w:left="100"/>
            </w:pPr>
            <w:r>
              <w:rPr>
                <w:sz w:val="20"/>
              </w:rPr>
              <w:t>Don Dengel</w:t>
            </w:r>
          </w:p>
          <w:p w:rsidR="00A84038" w:rsidRDefault="000B531A">
            <w:pPr>
              <w:ind w:left="100"/>
            </w:pPr>
            <w:r>
              <w:rPr>
                <w:sz w:val="20"/>
              </w:rPr>
              <w:t>Daniel Gallaher</w:t>
            </w:r>
          </w:p>
          <w:p w:rsidR="00A84038" w:rsidRDefault="000B531A">
            <w:pPr>
              <w:ind w:left="100"/>
            </w:pPr>
            <w:r>
              <w:rPr>
                <w:sz w:val="20"/>
              </w:rPr>
              <w:t>Do-Hyung Kim</w:t>
            </w:r>
          </w:p>
          <w:p w:rsidR="00A84038" w:rsidRDefault="000B531A">
            <w:pPr>
              <w:ind w:left="100"/>
            </w:pPr>
            <w:r>
              <w:rPr>
                <w:sz w:val="20"/>
              </w:rPr>
              <w:t>Catherine Kotz</w:t>
            </w:r>
          </w:p>
          <w:p w:rsidR="00A84038" w:rsidRDefault="000B531A">
            <w:pPr>
              <w:ind w:left="100"/>
            </w:pPr>
            <w:r>
              <w:rPr>
                <w:sz w:val="20"/>
              </w:rPr>
              <w:t>Mindy Kurzer</w:t>
            </w:r>
          </w:p>
          <w:p w:rsidR="00A84038" w:rsidRDefault="000B531A">
            <w:pPr>
              <w:ind w:left="100"/>
            </w:pPr>
            <w:r>
              <w:rPr>
                <w:sz w:val="20"/>
              </w:rPr>
              <w:t>Allen Levine</w:t>
            </w:r>
          </w:p>
          <w:p w:rsidR="00A84038" w:rsidRDefault="000B531A">
            <w:pPr>
              <w:ind w:left="100"/>
            </w:pPr>
            <w:r>
              <w:rPr>
                <w:sz w:val="20"/>
              </w:rPr>
              <w:t>Douglas Mashek</w:t>
            </w:r>
          </w:p>
          <w:p w:rsidR="00A84038" w:rsidRDefault="000B531A">
            <w:pPr>
              <w:ind w:left="100"/>
            </w:pPr>
            <w:r>
              <w:rPr>
                <w:sz w:val="20"/>
              </w:rPr>
              <w:t>Chuan Feng Wang</w:t>
            </w:r>
          </w:p>
        </w:tc>
        <w:tc>
          <w:tcPr>
            <w:tcW w:w="2465" w:type="dxa"/>
            <w:tcMar>
              <w:top w:w="100" w:type="dxa"/>
              <w:left w:w="100" w:type="dxa"/>
              <w:bottom w:w="100" w:type="dxa"/>
              <w:right w:w="100" w:type="dxa"/>
            </w:tcMar>
          </w:tcPr>
          <w:p w:rsidR="00A84038" w:rsidRDefault="000B531A">
            <w:pPr>
              <w:ind w:left="100"/>
            </w:pPr>
            <w:r>
              <w:rPr>
                <w:i/>
                <w:sz w:val="20"/>
              </w:rPr>
              <w:t>Charles Billington</w:t>
            </w:r>
          </w:p>
          <w:p w:rsidR="00A84038" w:rsidRDefault="000B531A">
            <w:pPr>
              <w:ind w:left="100"/>
            </w:pPr>
            <w:r>
              <w:rPr>
                <w:sz w:val="20"/>
              </w:rPr>
              <w:t xml:space="preserve"> </w:t>
            </w:r>
          </w:p>
          <w:p w:rsidR="00A84038" w:rsidRDefault="000B531A">
            <w:pPr>
              <w:ind w:left="100"/>
            </w:pPr>
            <w:r>
              <w:rPr>
                <w:sz w:val="20"/>
              </w:rPr>
              <w:t>Tiffany Beckman</w:t>
            </w:r>
          </w:p>
          <w:p w:rsidR="00A84038" w:rsidRDefault="000B531A">
            <w:pPr>
              <w:ind w:left="100"/>
            </w:pPr>
            <w:r>
              <w:rPr>
                <w:sz w:val="20"/>
              </w:rPr>
              <w:t>Charles Billington</w:t>
            </w:r>
          </w:p>
          <w:p w:rsidR="00A84038" w:rsidRDefault="000B531A">
            <w:pPr>
              <w:ind w:left="100"/>
            </w:pPr>
            <w:r>
              <w:rPr>
                <w:sz w:val="20"/>
              </w:rPr>
              <w:t>Scott Crow</w:t>
            </w:r>
          </w:p>
          <w:p w:rsidR="00A84038" w:rsidRDefault="000B531A">
            <w:pPr>
              <w:ind w:left="100"/>
            </w:pPr>
            <w:r>
              <w:rPr>
                <w:sz w:val="20"/>
              </w:rPr>
              <w:t>Carrie Earthman</w:t>
            </w:r>
          </w:p>
          <w:p w:rsidR="00A84038" w:rsidRDefault="000B531A">
            <w:pPr>
              <w:ind w:left="100"/>
            </w:pPr>
            <w:r>
              <w:rPr>
                <w:sz w:val="20"/>
              </w:rPr>
              <w:t>Carol Peterson</w:t>
            </w:r>
          </w:p>
          <w:p w:rsidR="00A84038" w:rsidRDefault="000B531A">
            <w:pPr>
              <w:ind w:left="100"/>
            </w:pPr>
            <w:r>
              <w:rPr>
                <w:sz w:val="20"/>
              </w:rPr>
              <w:t>Elizabeth Seaquist</w:t>
            </w:r>
          </w:p>
        </w:tc>
      </w:tr>
    </w:tbl>
    <w:p w:rsidR="00A84038" w:rsidRDefault="000B531A">
      <w:r>
        <w:rPr>
          <w:sz w:val="20"/>
        </w:rPr>
        <w:t xml:space="preserve"> </w:t>
      </w:r>
    </w:p>
    <w:p w:rsidR="00A84038" w:rsidRDefault="000B531A">
      <w:r>
        <w:rPr>
          <w:sz w:val="20"/>
        </w:rPr>
        <w:t>The Minnesota Obesity Training Program is supported by the National Institute of Diabetes and Digestive and Kidney Diseases (NIH Grant 1T32DK083250–01A1;</w:t>
      </w:r>
      <w:hyperlink r:id="rId13">
        <w:r>
          <w:rPr>
            <w:sz w:val="20"/>
          </w:rPr>
          <w:t xml:space="preserve"> </w:t>
        </w:r>
      </w:hyperlink>
      <w:hyperlink r:id="rId14">
        <w:r>
          <w:rPr>
            <w:color w:val="1155CC"/>
            <w:u w:val="single"/>
          </w:rPr>
          <w:t>http://grants.nih.gov/grants/guide/pa-files/PA-10-036.html</w:t>
        </w:r>
      </w:hyperlink>
      <w:r>
        <w:t>).</w:t>
      </w:r>
    </w:p>
    <w:p w:rsidR="00A84038" w:rsidRDefault="000B531A">
      <w:r>
        <w:t xml:space="preserve"> </w:t>
      </w:r>
    </w:p>
    <w:p w:rsidR="00A84038" w:rsidRDefault="000B531A">
      <w:r>
        <w:rPr>
          <w:i/>
          <w:sz w:val="20"/>
        </w:rPr>
        <w:t>The University of Minnesota is committed to the policy that all persons shall have equal access and opportunity to its programs, facilities</w:t>
      </w:r>
      <w:r>
        <w:rPr>
          <w:i/>
          <w:sz w:val="20"/>
        </w:rPr>
        <w:t>, and employment without regard to race, color, creed, religion, national origin, sex, age, marital status, disability, public assistance status, veteran status or sexual orientation. In adherence to this policy, MnOPT advocates the use of recruiting and s</w:t>
      </w:r>
      <w:r>
        <w:rPr>
          <w:i/>
          <w:sz w:val="20"/>
        </w:rPr>
        <w:t xml:space="preserve">earch processes to enhance </w:t>
      </w:r>
      <w:r>
        <w:rPr>
          <w:i/>
          <w:sz w:val="20"/>
        </w:rPr>
        <w:lastRenderedPageBreak/>
        <w:t>participation of racial minorities, women, persons with a disability, and Vietnam era veterans in the training program.</w:t>
      </w:r>
    </w:p>
    <w:p w:rsidR="00A84038" w:rsidRDefault="00A84038"/>
    <w:sectPr w:rsidR="00A84038">
      <w:headerReference w:type="even" r:id="rId15"/>
      <w:headerReference w:type="default" r:id="rId16"/>
      <w:footerReference w:type="even" r:id="rId17"/>
      <w:footerReference w:type="default" r:id="rId18"/>
      <w:headerReference w:type="first" r:id="rId19"/>
      <w:footerReference w:type="first" r:id="rId20"/>
      <w:pgSz w:w="12240" w:h="15840"/>
      <w:pgMar w:top="1440" w:right="1296" w:bottom="108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31A" w:rsidRDefault="000B531A">
      <w:pPr>
        <w:spacing w:line="240" w:lineRule="auto"/>
      </w:pPr>
      <w:r>
        <w:separator/>
      </w:r>
    </w:p>
  </w:endnote>
  <w:endnote w:type="continuationSeparator" w:id="0">
    <w:p w:rsidR="000B531A" w:rsidRDefault="000B53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84" w:rsidRDefault="004725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038" w:rsidRDefault="00472584">
    <w:pPr>
      <w:jc w:val="right"/>
    </w:pPr>
    <w:hyperlink r:id="rId1" w:history="1">
      <w:r>
        <w:rPr>
          <w:rStyle w:val="Hyperlink"/>
        </w:rPr>
        <w:t>https://docs.google.com/document/d/1cCvwvukvE_hfXT9a6KS-eJdZTy5Slk8awJ631Znf2CE/edit</w:t>
      </w:r>
    </w:hyperlink>
    <w:bookmarkStart w:id="4" w:name="_GoBack"/>
    <w:bookmarkEnd w:id="4"/>
    <w:r w:rsidR="000B531A">
      <w:fldChar w:fldCharType="begin"/>
    </w:r>
    <w:r w:rsidR="000B531A">
      <w:instrText>PAGE</w:instrText>
    </w:r>
    <w:r w:rsidR="000B531A">
      <w:fldChar w:fldCharType="separate"/>
    </w:r>
    <w:r>
      <w:rPr>
        <w:noProof/>
      </w:rPr>
      <w:t>1</w:t>
    </w:r>
    <w:r w:rsidR="000B531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84" w:rsidRDefault="00472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31A" w:rsidRDefault="000B531A">
      <w:pPr>
        <w:spacing w:line="240" w:lineRule="auto"/>
      </w:pPr>
      <w:r>
        <w:separator/>
      </w:r>
    </w:p>
  </w:footnote>
  <w:footnote w:type="continuationSeparator" w:id="0">
    <w:p w:rsidR="000B531A" w:rsidRDefault="000B53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84" w:rsidRDefault="004725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038" w:rsidRDefault="000B531A">
    <w:pPr>
      <w:ind w:left="-1259"/>
    </w:pPr>
    <w:r>
      <w:rPr>
        <w:noProof/>
      </w:rPr>
      <w:drawing>
        <wp:inline distT="19050" distB="19050" distL="19050" distR="19050">
          <wp:extent cx="7620000" cy="6604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
                  <a:stretch>
                    <a:fillRect/>
                  </a:stretch>
                </pic:blipFill>
                <pic:spPr>
                  <a:xfrm>
                    <a:off x="0" y="0"/>
                    <a:ext cx="7620000" cy="6604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84" w:rsidRDefault="004725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84038"/>
    <w:rsid w:val="000B531A"/>
    <w:rsid w:val="00472584"/>
    <w:rsid w:val="00A84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4725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584"/>
    <w:rPr>
      <w:rFonts w:ascii="Tahoma" w:eastAsia="Arial" w:hAnsi="Tahoma" w:cs="Tahoma"/>
      <w:color w:val="000000"/>
      <w:sz w:val="16"/>
      <w:szCs w:val="16"/>
    </w:rPr>
  </w:style>
  <w:style w:type="paragraph" w:styleId="Header">
    <w:name w:val="header"/>
    <w:basedOn w:val="Normal"/>
    <w:link w:val="HeaderChar"/>
    <w:uiPriority w:val="99"/>
    <w:unhideWhenUsed/>
    <w:rsid w:val="00472584"/>
    <w:pPr>
      <w:tabs>
        <w:tab w:val="center" w:pos="4680"/>
        <w:tab w:val="right" w:pos="9360"/>
      </w:tabs>
      <w:spacing w:line="240" w:lineRule="auto"/>
    </w:pPr>
  </w:style>
  <w:style w:type="character" w:customStyle="1" w:styleId="HeaderChar">
    <w:name w:val="Header Char"/>
    <w:basedOn w:val="DefaultParagraphFont"/>
    <w:link w:val="Header"/>
    <w:uiPriority w:val="99"/>
    <w:rsid w:val="00472584"/>
    <w:rPr>
      <w:rFonts w:ascii="Arial" w:eastAsia="Arial" w:hAnsi="Arial" w:cs="Arial"/>
      <w:color w:val="000000"/>
    </w:rPr>
  </w:style>
  <w:style w:type="paragraph" w:styleId="Footer">
    <w:name w:val="footer"/>
    <w:basedOn w:val="Normal"/>
    <w:link w:val="FooterChar"/>
    <w:uiPriority w:val="99"/>
    <w:unhideWhenUsed/>
    <w:rsid w:val="00472584"/>
    <w:pPr>
      <w:tabs>
        <w:tab w:val="center" w:pos="4680"/>
        <w:tab w:val="right" w:pos="9360"/>
      </w:tabs>
      <w:spacing w:line="240" w:lineRule="auto"/>
    </w:pPr>
  </w:style>
  <w:style w:type="character" w:customStyle="1" w:styleId="FooterChar">
    <w:name w:val="Footer Char"/>
    <w:basedOn w:val="DefaultParagraphFont"/>
    <w:link w:val="Footer"/>
    <w:uiPriority w:val="99"/>
    <w:rsid w:val="00472584"/>
    <w:rPr>
      <w:rFonts w:ascii="Arial" w:eastAsia="Arial" w:hAnsi="Arial" w:cs="Arial"/>
      <w:color w:val="000000"/>
    </w:rPr>
  </w:style>
  <w:style w:type="character" w:styleId="Hyperlink">
    <w:name w:val="Hyperlink"/>
    <w:basedOn w:val="DefaultParagraphFont"/>
    <w:uiPriority w:val="99"/>
    <w:semiHidden/>
    <w:unhideWhenUsed/>
    <w:rsid w:val="004725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4725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584"/>
    <w:rPr>
      <w:rFonts w:ascii="Tahoma" w:eastAsia="Arial" w:hAnsi="Tahoma" w:cs="Tahoma"/>
      <w:color w:val="000000"/>
      <w:sz w:val="16"/>
      <w:szCs w:val="16"/>
    </w:rPr>
  </w:style>
  <w:style w:type="paragraph" w:styleId="Header">
    <w:name w:val="header"/>
    <w:basedOn w:val="Normal"/>
    <w:link w:val="HeaderChar"/>
    <w:uiPriority w:val="99"/>
    <w:unhideWhenUsed/>
    <w:rsid w:val="00472584"/>
    <w:pPr>
      <w:tabs>
        <w:tab w:val="center" w:pos="4680"/>
        <w:tab w:val="right" w:pos="9360"/>
      </w:tabs>
      <w:spacing w:line="240" w:lineRule="auto"/>
    </w:pPr>
  </w:style>
  <w:style w:type="character" w:customStyle="1" w:styleId="HeaderChar">
    <w:name w:val="Header Char"/>
    <w:basedOn w:val="DefaultParagraphFont"/>
    <w:link w:val="Header"/>
    <w:uiPriority w:val="99"/>
    <w:rsid w:val="00472584"/>
    <w:rPr>
      <w:rFonts w:ascii="Arial" w:eastAsia="Arial" w:hAnsi="Arial" w:cs="Arial"/>
      <w:color w:val="000000"/>
    </w:rPr>
  </w:style>
  <w:style w:type="paragraph" w:styleId="Footer">
    <w:name w:val="footer"/>
    <w:basedOn w:val="Normal"/>
    <w:link w:val="FooterChar"/>
    <w:uiPriority w:val="99"/>
    <w:unhideWhenUsed/>
    <w:rsid w:val="00472584"/>
    <w:pPr>
      <w:tabs>
        <w:tab w:val="center" w:pos="4680"/>
        <w:tab w:val="right" w:pos="9360"/>
      </w:tabs>
      <w:spacing w:line="240" w:lineRule="auto"/>
    </w:pPr>
  </w:style>
  <w:style w:type="character" w:customStyle="1" w:styleId="FooterChar">
    <w:name w:val="Footer Char"/>
    <w:basedOn w:val="DefaultParagraphFont"/>
    <w:link w:val="Footer"/>
    <w:uiPriority w:val="99"/>
    <w:rsid w:val="00472584"/>
    <w:rPr>
      <w:rFonts w:ascii="Arial" w:eastAsia="Arial" w:hAnsi="Arial" w:cs="Arial"/>
      <w:color w:val="000000"/>
    </w:rPr>
  </w:style>
  <w:style w:type="character" w:styleId="Hyperlink">
    <w:name w:val="Hyperlink"/>
    <w:basedOn w:val="DefaultParagraphFont"/>
    <w:uiPriority w:val="99"/>
    <w:semiHidden/>
    <w:unhideWhenUsed/>
    <w:rsid w:val="004725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cs.google.com/a/umn.edu/file/d/0B4snm2Q3-ffQRUFKUGFyZlkwejA/edit?usp=drive_web" TargetMode="External"/><Relationship Id="rId13" Type="http://schemas.openxmlformats.org/officeDocument/2006/relationships/hyperlink" Target="http://grants.nih.gov/grants/guide/pa-files/PA-10-036.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cs.google.com/a/umn.edu/file/d/0B4snm2Q3-ffQTkdiWUsxemhaVWc/edit?usp=drive_web" TargetMode="External"/><Relationship Id="rId12" Type="http://schemas.openxmlformats.org/officeDocument/2006/relationships/hyperlink" Target="http://www.shb.umn.edu/twincities/graduate-assistants.htm"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hb.umn.edu/twincities/graduate-assistants.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grants.nih.gov/training/nrsa.ht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grants.nih.gov/training/nrsa.htm" TargetMode="External"/><Relationship Id="rId14" Type="http://schemas.openxmlformats.org/officeDocument/2006/relationships/hyperlink" Target="http://grants.nih.gov/grants/guide/pa-files/PA-10-036.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docs.google.com/document/d/1cCvwvukvE_hfXT9a6KS-eJdZTy5Slk8awJ631Znf2CE/ed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1313</Words>
  <Characters>7486</Characters>
  <Application>Microsoft Office Word</Application>
  <DocSecurity>0</DocSecurity>
  <Lines>62</Lines>
  <Paragraphs>17</Paragraphs>
  <ScaleCrop>false</ScaleCrop>
  <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Obesity Prevention Training (MnOPT).docx</dc:title>
  <cp:lastModifiedBy>Savannah G Faxon</cp:lastModifiedBy>
  <cp:revision>2</cp:revision>
  <dcterms:created xsi:type="dcterms:W3CDTF">2013-11-14T23:23:00Z</dcterms:created>
  <dcterms:modified xsi:type="dcterms:W3CDTF">2013-11-14T23:23:00Z</dcterms:modified>
</cp:coreProperties>
</file>